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45F2B760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2D110A">
        <w:rPr>
          <w:szCs w:val="28"/>
          <w:u w:val="single"/>
        </w:rPr>
        <w:t>9 April</w:t>
      </w:r>
      <w:r w:rsidR="004114AC">
        <w:rPr>
          <w:szCs w:val="28"/>
          <w:u w:val="single"/>
        </w:rPr>
        <w:t xml:space="preserve"> 2024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756515FE" w14:textId="362AE1D6" w:rsidR="00986D9E" w:rsidRPr="00986D9E" w:rsidRDefault="00986D9E" w:rsidP="00986D9E">
      <w:pPr>
        <w:shd w:val="clear" w:color="auto" w:fill="F2DBDB" w:themeFill="accent2" w:themeFillTint="33"/>
        <w:jc w:val="center"/>
        <w:rPr>
          <w:b/>
          <w:bCs/>
          <w:u w:val="single"/>
          <w:lang w:eastAsia="en-GB"/>
        </w:rPr>
      </w:pPr>
      <w:r w:rsidRPr="00986D9E">
        <w:rPr>
          <w:b/>
          <w:bCs/>
          <w:lang w:eastAsia="en-GB"/>
        </w:rPr>
        <w:t xml:space="preserve">NOTE THAT THIS MEETING WILL ONLY BE </w:t>
      </w:r>
      <w:r w:rsidRPr="00986D9E">
        <w:rPr>
          <w:b/>
          <w:bCs/>
          <w:u w:val="single"/>
          <w:lang w:eastAsia="en-GB"/>
        </w:rPr>
        <w:t>IN PERSON DUE TO TECHNOLOGY CHALLENGES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58BAE483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AD11A2A" w14:textId="56EFBC03" w:rsidR="00986D9E" w:rsidRDefault="00125133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152E0545" w14:textId="653B573B" w:rsidR="004114AC" w:rsidRDefault="00C7021E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</w:p>
    <w:p w14:paraId="2F2297A8" w14:textId="618150F4" w:rsidR="002D110A" w:rsidRDefault="002D110A">
      <w:pPr>
        <w:pStyle w:val="RockburnHeadingLevel2"/>
        <w:numPr>
          <w:ilvl w:val="0"/>
          <w:numId w:val="8"/>
        </w:numPr>
      </w:pPr>
      <w:r>
        <w:t>Complaint from Stephen Lambie</w:t>
      </w:r>
      <w:r w:rsidR="00E4470D">
        <w:t xml:space="preserve"> (Note this item will be chaired by N. Davies)</w:t>
      </w:r>
    </w:p>
    <w:p w14:paraId="153D1C26" w14:textId="77FC8FB9" w:rsidR="00986D9E" w:rsidRPr="00E65948" w:rsidRDefault="00986D9E">
      <w:pPr>
        <w:pStyle w:val="RockburnHeadingLevel2"/>
        <w:numPr>
          <w:ilvl w:val="0"/>
          <w:numId w:val="8"/>
        </w:numPr>
      </w:pPr>
      <w:r w:rsidRPr="00E65948">
        <w:t xml:space="preserve">Minutes of the CC meeting held on </w:t>
      </w:r>
      <w:r w:rsidR="002D110A">
        <w:t>13</w:t>
      </w:r>
      <w:r w:rsidR="002D110A" w:rsidRPr="002D110A">
        <w:rPr>
          <w:vertAlign w:val="superscript"/>
        </w:rPr>
        <w:t>th</w:t>
      </w:r>
      <w:r w:rsidR="002D110A">
        <w:t xml:space="preserve"> February 2024</w:t>
      </w:r>
    </w:p>
    <w:p w14:paraId="646DA79B" w14:textId="78FD2C1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5DC3E24A" w14:textId="1C789CB6" w:rsidR="00986D9E" w:rsidRDefault="002D110A" w:rsidP="002D110A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Update on Community Council Election Process</w:t>
      </w:r>
      <w:r w:rsidR="00986D9E" w:rsidRPr="007263AB">
        <w:rPr>
          <w:b/>
          <w:bCs/>
        </w:rPr>
        <w:t xml:space="preserve">  </w:t>
      </w:r>
    </w:p>
    <w:p w14:paraId="1B439F63" w14:textId="3C6A12A1" w:rsidR="00E13F53" w:rsidRPr="007263AB" w:rsidRDefault="00E13F53" w:rsidP="002D110A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 xml:space="preserve">Benches and memorial plaques, status list </w:t>
      </w:r>
    </w:p>
    <w:p w14:paraId="1EA3CCD6" w14:textId="77777777" w:rsidR="00E27C1F" w:rsidRDefault="00E27C1F" w:rsidP="00E27C1F">
      <w:pPr>
        <w:pStyle w:val="ListParagraph"/>
        <w:ind w:left="1080"/>
        <w:rPr>
          <w:lang w:eastAsia="en-GB"/>
        </w:rPr>
      </w:pPr>
    </w:p>
    <w:p w14:paraId="01E5B09E" w14:textId="11018066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onvenor</w:t>
      </w:r>
    </w:p>
    <w:p w14:paraId="093333B3" w14:textId="5F5271D7" w:rsidR="00E95E59" w:rsidRDefault="00E52702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Written report from Convenor – to be circulated.  </w:t>
      </w:r>
    </w:p>
    <w:p w14:paraId="706A050E" w14:textId="6BAB4C93" w:rsidR="0099666B" w:rsidRDefault="0099666B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Community Council dates (see options attached) for 2024 / 25 to be agreed at the AGM on 13</w:t>
      </w:r>
      <w:r w:rsidRPr="0099666B">
        <w:rPr>
          <w:vertAlign w:val="superscript"/>
          <w:lang w:eastAsia="en-GB"/>
        </w:rPr>
        <w:t>th</w:t>
      </w:r>
      <w:r>
        <w:rPr>
          <w:lang w:eastAsia="en-GB"/>
        </w:rPr>
        <w:t xml:space="preserve"> June 2024</w:t>
      </w:r>
    </w:p>
    <w:p w14:paraId="39EF82A4" w14:textId="025D84C3" w:rsidR="004114AC" w:rsidRDefault="0099666B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Beach Clean – Monday 1</w:t>
      </w:r>
      <w:r w:rsidRPr="0099666B">
        <w:rPr>
          <w:vertAlign w:val="superscript"/>
          <w:lang w:eastAsia="en-GB"/>
        </w:rPr>
        <w:t>st</w:t>
      </w:r>
      <w:r>
        <w:rPr>
          <w:lang w:eastAsia="en-GB"/>
        </w:rPr>
        <w:t xml:space="preserve"> April </w:t>
      </w:r>
    </w:p>
    <w:p w14:paraId="63AE2A70" w14:textId="799BC9BA" w:rsidR="00E13F53" w:rsidRDefault="00E13F53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Cove Play Park </w:t>
      </w:r>
      <w:proofErr w:type="gramStart"/>
      <w:r>
        <w:rPr>
          <w:lang w:eastAsia="en-GB"/>
        </w:rPr>
        <w:t>update</w:t>
      </w:r>
      <w:proofErr w:type="gramEnd"/>
    </w:p>
    <w:p w14:paraId="7C18FC9C" w14:textId="7662AF4A" w:rsidR="00E13F53" w:rsidRDefault="003F3874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Argyll &amp; Bute Council and Community Council Forum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455CB9F3" w14:textId="5E7DFFD8" w:rsidR="001E5B3B" w:rsidRDefault="008D7AEA" w:rsidP="00E13F53">
      <w:pPr>
        <w:pStyle w:val="ListParagraph"/>
        <w:numPr>
          <w:ilvl w:val="0"/>
          <w:numId w:val="16"/>
        </w:numPr>
      </w:pPr>
      <w:r>
        <w:t>Report from Treasurer</w:t>
      </w:r>
    </w:p>
    <w:p w14:paraId="55B0BA5B" w14:textId="5ED1A90B" w:rsidR="006600E5" w:rsidRPr="001E5B3B" w:rsidRDefault="006600E5">
      <w:pPr>
        <w:pStyle w:val="ListParagraph"/>
        <w:numPr>
          <w:ilvl w:val="0"/>
          <w:numId w:val="16"/>
        </w:numPr>
      </w:pPr>
      <w:r>
        <w:t>Note we need to consider a new Treasurer from the AGM (11</w:t>
      </w:r>
      <w:r w:rsidRPr="006600E5">
        <w:rPr>
          <w:vertAlign w:val="superscript"/>
        </w:rPr>
        <w:t>th</w:t>
      </w:r>
      <w:r>
        <w:t xml:space="preserve"> June 2024).  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3F568382" w14:textId="440A4313" w:rsidR="008D7AEA" w:rsidRDefault="008D7AEA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3FCA0815" w14:textId="5258DFC2" w:rsidR="002F0FA6" w:rsidRDefault="004114A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Noticeboards</w:t>
      </w:r>
      <w:r w:rsidR="00E13F53">
        <w:rPr>
          <w:lang w:eastAsia="en-GB"/>
        </w:rPr>
        <w:t xml:space="preserve"> and funding</w:t>
      </w:r>
      <w:r>
        <w:rPr>
          <w:lang w:eastAsia="en-GB"/>
        </w:rPr>
        <w:t xml:space="preserve"> </w:t>
      </w:r>
    </w:p>
    <w:p w14:paraId="377333EC" w14:textId="46B238E9" w:rsidR="00F10AF1" w:rsidRDefault="00F10AF1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 xml:space="preserve">and Household Emergency Planning update </w:t>
      </w:r>
    </w:p>
    <w:p w14:paraId="7183DF72" w14:textId="161A5C5A" w:rsidR="0099666B" w:rsidRDefault="0099666B" w:rsidP="0099666B">
      <w:pPr>
        <w:pStyle w:val="ListParagraph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Meeting with School</w:t>
      </w:r>
    </w:p>
    <w:p w14:paraId="4EEA0C67" w14:textId="78D82786" w:rsidR="0099666B" w:rsidRDefault="0099666B" w:rsidP="0099666B">
      <w:pPr>
        <w:pStyle w:val="ListParagraph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Submission of proposal to Argyll &amp; Bute Communities Fund</w:t>
      </w:r>
    </w:p>
    <w:p w14:paraId="6AAA6117" w14:textId="4D07FECB" w:rsidR="0099666B" w:rsidRDefault="0099666B" w:rsidP="0099666B">
      <w:pPr>
        <w:pStyle w:val="ListParagraph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Final report / invoice to the National Centre for Resilience</w:t>
      </w:r>
    </w:p>
    <w:p w14:paraId="49954EC9" w14:textId="7FB6B3B8" w:rsidR="0099666B" w:rsidRPr="0099666B" w:rsidRDefault="0099666B" w:rsidP="0099666B">
      <w:pPr>
        <w:pStyle w:val="ListParagraph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lastRenderedPageBreak/>
        <w:t xml:space="preserve">Work plan for 2024/25 on winter preparedness </w:t>
      </w:r>
      <w:proofErr w:type="spellStart"/>
      <w:proofErr w:type="gramStart"/>
      <w:r>
        <w:rPr>
          <w:lang w:eastAsia="en-GB"/>
        </w:rPr>
        <w:t>etc</w:t>
      </w:r>
      <w:proofErr w:type="spellEnd"/>
      <w:proofErr w:type="gramEnd"/>
      <w:r>
        <w:rPr>
          <w:lang w:eastAsia="en-GB"/>
        </w:rPr>
        <w:t xml:space="preserve">  </w:t>
      </w:r>
    </w:p>
    <w:p w14:paraId="129D0E27" w14:textId="4778A5A5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</w:p>
    <w:p w14:paraId="02E1A467" w14:textId="70345CD9" w:rsidR="007821A5" w:rsidRPr="007821A5" w:rsidRDefault="0099666B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Update from ND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7CEDDC90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Tigh Dearg – </w:t>
      </w:r>
      <w:r w:rsidR="007263AB">
        <w:rPr>
          <w:lang w:eastAsia="en-GB"/>
        </w:rPr>
        <w:t>update</w:t>
      </w:r>
      <w:r w:rsidR="002D110A">
        <w:rPr>
          <w:lang w:eastAsia="en-GB"/>
        </w:rPr>
        <w:t xml:space="preserve">, including </w:t>
      </w:r>
      <w:r w:rsidR="008318AD">
        <w:rPr>
          <w:lang w:eastAsia="en-GB"/>
        </w:rPr>
        <w:t xml:space="preserve">the </w:t>
      </w:r>
      <w:r w:rsidR="002D110A">
        <w:rPr>
          <w:lang w:eastAsia="en-GB"/>
        </w:rPr>
        <w:t>change in contractor</w:t>
      </w:r>
      <w:r w:rsidR="008318AD">
        <w:rPr>
          <w:lang w:eastAsia="en-GB"/>
        </w:rPr>
        <w:t xml:space="preserve"> and ongoing </w:t>
      </w:r>
      <w:proofErr w:type="gramStart"/>
      <w:r w:rsidR="008318AD">
        <w:rPr>
          <w:lang w:eastAsia="en-GB"/>
        </w:rPr>
        <w:t>issues</w:t>
      </w:r>
      <w:proofErr w:type="gramEnd"/>
    </w:p>
    <w:p w14:paraId="3CB1C91A" w14:textId="1776B3CA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School Road</w:t>
      </w:r>
      <w:r w:rsidR="002D110A">
        <w:rPr>
          <w:lang w:eastAsia="en-GB"/>
        </w:rPr>
        <w:t xml:space="preserve"> update on work to reduce flooding / repair road/  </w:t>
      </w:r>
      <w:r>
        <w:rPr>
          <w:lang w:eastAsia="en-GB"/>
        </w:rPr>
        <w:t xml:space="preserve">  </w:t>
      </w:r>
    </w:p>
    <w:p w14:paraId="55E47745" w14:textId="29F378B3" w:rsidR="000B3214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 flooding</w:t>
      </w:r>
      <w:r w:rsidR="00977714">
        <w:rPr>
          <w:lang w:eastAsia="en-GB"/>
        </w:rPr>
        <w:t xml:space="preserve"> – including Barbour Road</w:t>
      </w:r>
      <w:r w:rsidR="004114AC">
        <w:rPr>
          <w:lang w:eastAsia="en-GB"/>
        </w:rPr>
        <w:t xml:space="preserve"> </w:t>
      </w:r>
    </w:p>
    <w:p w14:paraId="47533427" w14:textId="071E1A16" w:rsidR="000B3214" w:rsidRDefault="002F0FA6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Deer Management and logging of incidents</w:t>
      </w:r>
      <w:r w:rsidR="00E27C1F">
        <w:rPr>
          <w:lang w:eastAsia="en-GB"/>
        </w:rPr>
        <w:t xml:space="preserve"> / accidents / near misses</w:t>
      </w:r>
      <w:r w:rsidR="002D110A">
        <w:rPr>
          <w:lang w:eastAsia="en-GB"/>
        </w:rPr>
        <w:t xml:space="preserve"> – Facebook response</w:t>
      </w:r>
    </w:p>
    <w:p w14:paraId="0D4D9438" w14:textId="44758E04" w:rsidR="002D110A" w:rsidRDefault="002D110A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Barbour Road Hedge Management</w:t>
      </w:r>
    </w:p>
    <w:p w14:paraId="745C5CDD" w14:textId="26C1B4C0" w:rsidR="003F3874" w:rsidRDefault="003F387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Fly Tipping </w:t>
      </w:r>
      <w:proofErr w:type="gramStart"/>
      <w:r>
        <w:rPr>
          <w:lang w:eastAsia="en-GB"/>
        </w:rPr>
        <w:t>issues</w:t>
      </w:r>
      <w:proofErr w:type="gramEnd"/>
    </w:p>
    <w:p w14:paraId="6CBEB66E" w14:textId="7AA3D4E1" w:rsidR="002D110A" w:rsidRDefault="002D110A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Cove Bay refuse bins</w:t>
      </w:r>
    </w:p>
    <w:p w14:paraId="3F4FD284" w14:textId="60B3A028" w:rsidR="0099666B" w:rsidRDefault="0099666B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Request for large bins on Fort Road to aid recycling – including material from beach and reducing </w:t>
      </w:r>
      <w:proofErr w:type="gramStart"/>
      <w:r>
        <w:rPr>
          <w:lang w:eastAsia="en-GB"/>
        </w:rPr>
        <w:t>litter</w:t>
      </w:r>
      <w:proofErr w:type="gramEnd"/>
    </w:p>
    <w:p w14:paraId="5DFCC165" w14:textId="78ABB20B" w:rsidR="003F3874" w:rsidRPr="000B3214" w:rsidRDefault="003F387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Kilcreggan Bus Shelter – repair?  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5A424E0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/ Meeting with Planning</w:t>
      </w:r>
      <w:r w:rsidR="004114AC">
        <w:t xml:space="preserve">  </w:t>
      </w:r>
    </w:p>
    <w:p w14:paraId="62C8BFA9" w14:textId="26E1E2CF" w:rsidR="002D110A" w:rsidRDefault="002D110A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Approach to meeting with Planning Department – discussion of key points / timing and the outcome the Community Council wants to </w:t>
      </w:r>
      <w:proofErr w:type="gramStart"/>
      <w:r>
        <w:rPr>
          <w:lang w:eastAsia="en-GB"/>
        </w:rPr>
        <w:t>achieve</w:t>
      </w:r>
      <w:proofErr w:type="gramEnd"/>
    </w:p>
    <w:p w14:paraId="552BB8FB" w14:textId="3CB765CA" w:rsidR="00986D9E" w:rsidRDefault="004114AC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Website and planning</w:t>
      </w:r>
    </w:p>
    <w:p w14:paraId="0F5869F8" w14:textId="4DE60079" w:rsidR="0099666B" w:rsidRDefault="0099666B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Adoption of </w:t>
      </w:r>
      <w:proofErr w:type="spellStart"/>
      <w:r>
        <w:rPr>
          <w:lang w:eastAsia="en-GB"/>
        </w:rPr>
        <w:t>LDP2</w:t>
      </w:r>
      <w:proofErr w:type="spellEnd"/>
      <w:r>
        <w:rPr>
          <w:lang w:eastAsia="en-GB"/>
        </w:rPr>
        <w:t xml:space="preserve"> on 28</w:t>
      </w:r>
      <w:r w:rsidRPr="0099666B">
        <w:rPr>
          <w:vertAlign w:val="superscript"/>
          <w:lang w:eastAsia="en-GB"/>
        </w:rPr>
        <w:t>th</w:t>
      </w:r>
      <w:r>
        <w:rPr>
          <w:lang w:eastAsia="en-GB"/>
        </w:rPr>
        <w:t xml:space="preserve"> February 2024</w:t>
      </w:r>
    </w:p>
    <w:p w14:paraId="6B685E25" w14:textId="3421CA3E" w:rsidR="0099666B" w:rsidRPr="00986D9E" w:rsidRDefault="0099666B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Local Place Planning and links to </w:t>
      </w:r>
      <w:proofErr w:type="spellStart"/>
      <w:r>
        <w:rPr>
          <w:lang w:eastAsia="en-GB"/>
        </w:rPr>
        <w:t>LDP3</w:t>
      </w:r>
      <w:proofErr w:type="spellEnd"/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0EB6EB37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>Argyll &amp; Bute Council</w:t>
      </w:r>
    </w:p>
    <w:p w14:paraId="7BCB681A" w14:textId="798015EB" w:rsidR="00AA102A" w:rsidRDefault="00AA102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t>Achnashellach</w:t>
      </w:r>
      <w:proofErr w:type="spellEnd"/>
      <w:r>
        <w:t xml:space="preserve"> application and breach (24/00047/</w:t>
      </w:r>
      <w:proofErr w:type="spellStart"/>
      <w:r>
        <w:t>ENOTH3</w:t>
      </w:r>
      <w:proofErr w:type="spellEnd"/>
      <w:r>
        <w:t xml:space="preserve">) due to unauthorized ground works relating to 24/00135/PP.  </w:t>
      </w:r>
    </w:p>
    <w:p w14:paraId="0D26AD8E" w14:textId="08A811B4" w:rsidR="004114AC" w:rsidRDefault="004114AC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Letter from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regarding development near Medical Centre </w:t>
      </w:r>
      <w:r w:rsidR="006600E5">
        <w:rPr>
          <w:lang w:eastAsia="en-GB"/>
        </w:rPr>
        <w:t>Planning Application 19/02612/PP</w:t>
      </w:r>
      <w:r w:rsidR="00AA102A">
        <w:rPr>
          <w:lang w:eastAsia="en-GB"/>
        </w:rPr>
        <w:t xml:space="preserve"> – from website (25/03/24) still awaiting decision.  </w:t>
      </w:r>
    </w:p>
    <w:p w14:paraId="6AE45AAE" w14:textId="7241C36E" w:rsidR="006600E5" w:rsidRDefault="006600E5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Holiday Pods (Peaton) – letter from CC attached.  (Planning Application 23/01120/PP)</w:t>
      </w:r>
    </w:p>
    <w:p w14:paraId="6B1AD165" w14:textId="7793D595" w:rsidR="00AA102A" w:rsidRDefault="00AA102A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Appeal regarding Land west of Ruanda - </w:t>
      </w:r>
      <w:r>
        <w:rPr>
          <w:rFonts w:ascii="Tahoma" w:hAnsi="Tahoma" w:cs="Tahoma"/>
          <w:color w:val="000000"/>
          <w:shd w:val="clear" w:color="auto" w:fill="FFFFFF"/>
        </w:rPr>
        <w:t>24/00002/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REFPLA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188690C1" w14:textId="455F9C7E" w:rsidR="0099666B" w:rsidRPr="001E5B3B" w:rsidRDefault="0099666B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Faslane </w:t>
      </w:r>
      <w:r w:rsidR="00E13F53">
        <w:rPr>
          <w:lang w:eastAsia="en-GB"/>
        </w:rPr>
        <w:t xml:space="preserve"> - Proposal of Application Notice (PAN) for Single Living Accommodation (SLA).  </w:t>
      </w:r>
    </w:p>
    <w:p w14:paraId="60D94083" w14:textId="7537AEB6" w:rsidR="00D67C3F" w:rsidRDefault="00E45A81">
      <w:pPr>
        <w:pStyle w:val="RockburnHeadingLevel2"/>
        <w:numPr>
          <w:ilvl w:val="0"/>
          <w:numId w:val="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6506FF6E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To be notified to the Chair 48 hrs prior to the meeting </w:t>
      </w:r>
    </w:p>
    <w:p w14:paraId="4AC0B82C" w14:textId="47C20369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E4470D">
        <w:rPr>
          <w:highlight w:val="yellow"/>
        </w:rPr>
        <w:t xml:space="preserve"> </w:t>
      </w:r>
      <w:r w:rsidR="00E4470D">
        <w:rPr>
          <w:b/>
          <w:bCs/>
          <w:highlight w:val="yellow"/>
        </w:rPr>
        <w:t>TUESDAY</w:t>
      </w:r>
      <w:r w:rsidR="00BE22B5" w:rsidRPr="002D110A">
        <w:rPr>
          <w:highlight w:val="yellow"/>
        </w:rPr>
        <w:t xml:space="preserve"> </w:t>
      </w:r>
      <w:r w:rsidR="00EA765B" w:rsidRPr="002D110A">
        <w:rPr>
          <w:highlight w:val="yellow"/>
        </w:rPr>
        <w:t xml:space="preserve"> </w:t>
      </w:r>
      <w:r w:rsidR="002D110A" w:rsidRPr="002D110A">
        <w:rPr>
          <w:highlight w:val="yellow"/>
        </w:rPr>
        <w:t>1</w:t>
      </w:r>
      <w:r w:rsidR="00E4470D">
        <w:rPr>
          <w:highlight w:val="yellow"/>
        </w:rPr>
        <w:t>1</w:t>
      </w:r>
      <w:r w:rsidR="002D110A" w:rsidRPr="002D110A">
        <w:rPr>
          <w:highlight w:val="yellow"/>
          <w:vertAlign w:val="superscript"/>
        </w:rPr>
        <w:t>th</w:t>
      </w:r>
      <w:r w:rsidR="002D110A" w:rsidRPr="002D110A">
        <w:rPr>
          <w:highlight w:val="yellow"/>
        </w:rPr>
        <w:t xml:space="preserve"> June</w:t>
      </w:r>
      <w:r w:rsidR="004114AC" w:rsidRPr="002D110A">
        <w:rPr>
          <w:highlight w:val="yellow"/>
        </w:rPr>
        <w:t xml:space="preserve"> 2024</w:t>
      </w:r>
      <w:r w:rsidR="002D110A" w:rsidRPr="002D110A">
        <w:rPr>
          <w:highlight w:val="yellow"/>
        </w:rPr>
        <w:t xml:space="preserve"> which will be proceeded by the AGM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14FA3804" w:rsidR="0099666B" w:rsidRDefault="0099666B" w:rsidP="0099666B">
      <w:pPr>
        <w:rPr>
          <w:lang w:eastAsia="en-GB"/>
        </w:rPr>
      </w:pPr>
      <w:r>
        <w:rPr>
          <w:lang w:eastAsia="en-GB"/>
        </w:rPr>
        <w:br w:type="page"/>
      </w:r>
    </w:p>
    <w:p w14:paraId="635D58AB" w14:textId="77777777" w:rsidR="0099666B" w:rsidRDefault="0099666B" w:rsidP="0099666B">
      <w:pPr>
        <w:pStyle w:val="RockburnHeadingLevel2"/>
        <w:shd w:val="clear" w:color="auto" w:fill="D9D9D9" w:themeFill="background1" w:themeFillShade="D9"/>
      </w:pPr>
      <w:r>
        <w:lastRenderedPageBreak/>
        <w:t>Options for Cove and Kilcreggan Community Council Meeting dates for 2024/25</w:t>
      </w:r>
    </w:p>
    <w:p w14:paraId="0F1F74F6" w14:textId="77777777" w:rsidR="0099666B" w:rsidRDefault="0099666B" w:rsidP="0099666B">
      <w:pPr>
        <w:rPr>
          <w:lang w:eastAsia="en-GB"/>
        </w:rPr>
      </w:pPr>
    </w:p>
    <w:p w14:paraId="44D6B6DE" w14:textId="118A759B" w:rsidR="0099666B" w:rsidRDefault="0099666B" w:rsidP="0099666B">
      <w:pPr>
        <w:rPr>
          <w:b/>
          <w:bCs/>
          <w:u w:val="single"/>
          <w:lang w:eastAsia="en-GB"/>
        </w:rPr>
      </w:pPr>
      <w:r>
        <w:rPr>
          <w:b/>
          <w:bCs/>
          <w:u w:val="single"/>
          <w:lang w:eastAsia="en-GB"/>
        </w:rPr>
        <w:t>Options for meeting dates for 2024 / 25</w:t>
      </w:r>
      <w:r w:rsidR="00496259">
        <w:rPr>
          <w:b/>
          <w:bCs/>
          <w:u w:val="single"/>
          <w:lang w:eastAsia="en-GB"/>
        </w:rPr>
        <w:t xml:space="preserve"> – to be agreed at the AGM on 13</w:t>
      </w:r>
      <w:r w:rsidR="00496259" w:rsidRPr="00496259">
        <w:rPr>
          <w:b/>
          <w:bCs/>
          <w:u w:val="single"/>
          <w:vertAlign w:val="superscript"/>
          <w:lang w:eastAsia="en-GB"/>
        </w:rPr>
        <w:t>th</w:t>
      </w:r>
      <w:r w:rsidR="00496259">
        <w:rPr>
          <w:b/>
          <w:bCs/>
          <w:u w:val="single"/>
          <w:lang w:eastAsia="en-GB"/>
        </w:rPr>
        <w:t xml:space="preserve"> June 2024</w:t>
      </w:r>
    </w:p>
    <w:p w14:paraId="7C3230A5" w14:textId="33D7555F" w:rsidR="0099666B" w:rsidRPr="008318AD" w:rsidRDefault="0099666B" w:rsidP="0099666B">
      <w:pPr>
        <w:rPr>
          <w:b/>
          <w:bCs/>
          <w:color w:val="C00000"/>
          <w:lang w:eastAsia="en-GB"/>
        </w:rPr>
      </w:pPr>
      <w:r w:rsidRPr="008318AD">
        <w:rPr>
          <w:b/>
          <w:bCs/>
          <w:color w:val="C00000"/>
          <w:lang w:eastAsia="en-GB"/>
        </w:rPr>
        <w:t>T</w:t>
      </w:r>
      <w:r w:rsidR="008318AD" w:rsidRPr="008318AD">
        <w:rPr>
          <w:b/>
          <w:bCs/>
          <w:color w:val="C00000"/>
          <w:lang w:eastAsia="en-GB"/>
        </w:rPr>
        <w:t>hree</w:t>
      </w:r>
      <w:r w:rsidRPr="008318AD">
        <w:rPr>
          <w:b/>
          <w:bCs/>
          <w:color w:val="C00000"/>
          <w:lang w:eastAsia="en-GB"/>
        </w:rPr>
        <w:t xml:space="preserve"> options presented:  </w:t>
      </w:r>
    </w:p>
    <w:p w14:paraId="2C812D84" w14:textId="119DAD54" w:rsidR="0099666B" w:rsidRDefault="0099666B" w:rsidP="0099666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Our current practice of holding meetings on the 2</w:t>
      </w:r>
      <w:r w:rsidRPr="000614F6">
        <w:rPr>
          <w:vertAlign w:val="superscript"/>
          <w:lang w:eastAsia="en-GB"/>
        </w:rPr>
        <w:t>nd</w:t>
      </w:r>
      <w:r>
        <w:rPr>
          <w:lang w:eastAsia="en-GB"/>
        </w:rPr>
        <w:t xml:space="preserve"> Tuesday of every second month</w:t>
      </w:r>
      <w:r w:rsidR="008318AD">
        <w:rPr>
          <w:lang w:eastAsia="en-GB"/>
        </w:rPr>
        <w:t xml:space="preserve"> for the even numbered months</w:t>
      </w:r>
      <w:r>
        <w:rPr>
          <w:lang w:eastAsia="en-GB"/>
        </w:rPr>
        <w:t xml:space="preserve">; </w:t>
      </w:r>
    </w:p>
    <w:p w14:paraId="72BBF94A" w14:textId="77777777" w:rsidR="0099666B" w:rsidRDefault="0099666B" w:rsidP="0099666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 xml:space="preserve">Holding meetings every month </w:t>
      </w:r>
    </w:p>
    <w:p w14:paraId="2DD90591" w14:textId="6A9F573E" w:rsidR="008318AD" w:rsidRDefault="008318AD" w:rsidP="0099666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 xml:space="preserve">As option 1  but on the odd numbered months starting in January 2025 (due to existing bookings).  .  </w:t>
      </w:r>
    </w:p>
    <w:p w14:paraId="13D659B5" w14:textId="77777777" w:rsidR="00496259" w:rsidRDefault="00496259" w:rsidP="0099666B">
      <w:pPr>
        <w:rPr>
          <w:b/>
          <w:bCs/>
          <w:lang w:eastAsia="en-GB"/>
        </w:rPr>
      </w:pPr>
    </w:p>
    <w:p w14:paraId="30579201" w14:textId="07CE63C6" w:rsidR="0099666B" w:rsidRPr="008B3607" w:rsidRDefault="0099666B" w:rsidP="0099666B">
      <w:pPr>
        <w:rPr>
          <w:b/>
          <w:bCs/>
          <w:lang w:eastAsia="en-GB"/>
        </w:rPr>
      </w:pPr>
      <w:r w:rsidRPr="008B3607">
        <w:rPr>
          <w:b/>
          <w:bCs/>
          <w:lang w:eastAsia="en-GB"/>
        </w:rPr>
        <w:t xml:space="preserve">Points to consider: </w:t>
      </w:r>
    </w:p>
    <w:p w14:paraId="10EBEC0B" w14:textId="59DF7FEB" w:rsidR="00E4470D" w:rsidRDefault="00E4470D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That the meeting </w:t>
      </w:r>
      <w:proofErr w:type="gramStart"/>
      <w:r>
        <w:rPr>
          <w:lang w:eastAsia="en-GB"/>
        </w:rPr>
        <w:t>have</w:t>
      </w:r>
      <w:proofErr w:type="gramEnd"/>
      <w:r>
        <w:rPr>
          <w:lang w:eastAsia="en-GB"/>
        </w:rPr>
        <w:t xml:space="preserve"> been held on the second Tuesday of the month (either monthly or bi-</w:t>
      </w:r>
      <w:proofErr w:type="spellStart"/>
      <w:r>
        <w:rPr>
          <w:lang w:eastAsia="en-GB"/>
        </w:rPr>
        <w:t>0monthly</w:t>
      </w:r>
      <w:proofErr w:type="spellEnd"/>
      <w:r>
        <w:rPr>
          <w:lang w:eastAsia="en-GB"/>
        </w:rPr>
        <w:t xml:space="preserve">) for a long period.  </w:t>
      </w:r>
    </w:p>
    <w:p w14:paraId="2A890F99" w14:textId="61B25175" w:rsidR="0099666B" w:rsidRDefault="0099666B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That the meetings are held in such a way that the Elected </w:t>
      </w:r>
      <w:proofErr w:type="spellStart"/>
      <w:r>
        <w:rPr>
          <w:lang w:eastAsia="en-GB"/>
        </w:rPr>
        <w:t>Councillors</w:t>
      </w:r>
      <w:proofErr w:type="spellEnd"/>
      <w:r>
        <w:rPr>
          <w:lang w:eastAsia="en-GB"/>
        </w:rPr>
        <w:t xml:space="preserve"> can attend not only our meetings but those of other CCs such as Rhu and Shandon, Luss and Arden, </w:t>
      </w:r>
      <w:proofErr w:type="spellStart"/>
      <w:r>
        <w:rPr>
          <w:lang w:eastAsia="en-GB"/>
        </w:rPr>
        <w:t>Rosneath</w:t>
      </w:r>
      <w:proofErr w:type="spellEnd"/>
      <w:r>
        <w:rPr>
          <w:lang w:eastAsia="en-GB"/>
        </w:rPr>
        <w:t xml:space="preserve"> and </w:t>
      </w:r>
      <w:proofErr w:type="spellStart"/>
      <w:r>
        <w:rPr>
          <w:lang w:eastAsia="en-GB"/>
        </w:rPr>
        <w:t>Clynder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Garlochhead</w:t>
      </w:r>
      <w:proofErr w:type="spellEnd"/>
      <w:r>
        <w:rPr>
          <w:lang w:eastAsia="en-GB"/>
        </w:rPr>
        <w:t xml:space="preserve"> and Arrochar, Tarbet and </w:t>
      </w:r>
      <w:proofErr w:type="spellStart"/>
      <w:r>
        <w:rPr>
          <w:lang w:eastAsia="en-GB"/>
        </w:rPr>
        <w:t>Ardlui</w:t>
      </w:r>
      <w:proofErr w:type="spellEnd"/>
    </w:p>
    <w:p w14:paraId="67283540" w14:textId="77777777" w:rsidR="0099666B" w:rsidRDefault="0099666B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We cannot have the AGM before </w:t>
      </w:r>
      <w:proofErr w:type="gramStart"/>
      <w:r>
        <w:rPr>
          <w:lang w:eastAsia="en-GB"/>
        </w:rPr>
        <w:t>end</w:t>
      </w:r>
      <w:proofErr w:type="gramEnd"/>
      <w:r>
        <w:rPr>
          <w:lang w:eastAsia="en-GB"/>
        </w:rPr>
        <w:t xml:space="preserve"> of May to ensure our accounts are in order and the AGM can agree them.  This enables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to then pay our administrative grant. </w:t>
      </w:r>
    </w:p>
    <w:p w14:paraId="0C8FBBD5" w14:textId="77777777" w:rsidR="0099666B" w:rsidRDefault="0099666B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A request that we try to avoid school holidays.  </w:t>
      </w:r>
    </w:p>
    <w:p w14:paraId="01259D38" w14:textId="77777777" w:rsidR="0099666B" w:rsidRDefault="0099666B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That it is well established that the </w:t>
      </w:r>
      <w:proofErr w:type="spellStart"/>
      <w:r>
        <w:rPr>
          <w:lang w:eastAsia="en-GB"/>
        </w:rPr>
        <w:t>C&amp;K</w:t>
      </w:r>
      <w:proofErr w:type="spellEnd"/>
      <w:r>
        <w:rPr>
          <w:lang w:eastAsia="en-GB"/>
        </w:rPr>
        <w:t xml:space="preserve"> CC is held the second Tuesday of every second month.  Additional meetings could be held in between these times - virtually or in-person if an urgent matter </w:t>
      </w:r>
      <w:proofErr w:type="gramStart"/>
      <w:r>
        <w:rPr>
          <w:lang w:eastAsia="en-GB"/>
        </w:rPr>
        <w:t>has to</w:t>
      </w:r>
      <w:proofErr w:type="gramEnd"/>
      <w:r>
        <w:rPr>
          <w:lang w:eastAsia="en-GB"/>
        </w:rPr>
        <w:t xml:space="preserve"> be resolved.  </w:t>
      </w:r>
    </w:p>
    <w:p w14:paraId="1B0D21B9" w14:textId="77777777" w:rsidR="0099666B" w:rsidRDefault="0099666B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The need to ensure that </w:t>
      </w:r>
      <w:proofErr w:type="spellStart"/>
      <w:r>
        <w:rPr>
          <w:lang w:eastAsia="en-GB"/>
        </w:rPr>
        <w:t>CBH</w:t>
      </w:r>
      <w:proofErr w:type="spellEnd"/>
      <w:r>
        <w:rPr>
          <w:lang w:eastAsia="en-GB"/>
        </w:rPr>
        <w:t xml:space="preserve"> has our bookings well in advance for the use of the Small Hall.  </w:t>
      </w:r>
    </w:p>
    <w:p w14:paraId="479660A5" w14:textId="4F9E4F4F" w:rsidR="008318AD" w:rsidRDefault="008318AD" w:rsidP="0099666B">
      <w:pPr>
        <w:pStyle w:val="ListParagraph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We have bookings through to </w:t>
      </w:r>
      <w:proofErr w:type="gramStart"/>
      <w:r>
        <w:rPr>
          <w:lang w:eastAsia="en-GB"/>
        </w:rPr>
        <w:t>end</w:t>
      </w:r>
      <w:proofErr w:type="gramEnd"/>
      <w:r>
        <w:rPr>
          <w:lang w:eastAsia="en-GB"/>
        </w:rPr>
        <w:t xml:space="preserve"> of 2024 already in place.  Availability for other options is being checked.  </w:t>
      </w:r>
    </w:p>
    <w:p w14:paraId="61D36869" w14:textId="77777777" w:rsidR="0099666B" w:rsidRDefault="0099666B" w:rsidP="0099666B">
      <w:pPr>
        <w:rPr>
          <w:lang w:eastAsia="en-GB"/>
        </w:rPr>
      </w:pPr>
    </w:p>
    <w:p w14:paraId="06595DF3" w14:textId="77777777" w:rsidR="0099666B" w:rsidRPr="008B3607" w:rsidRDefault="0099666B" w:rsidP="0099666B">
      <w:p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Below are the two options with dates through to the AGM in 2025.  </w:t>
      </w:r>
    </w:p>
    <w:tbl>
      <w:tblPr>
        <w:tblStyle w:val="Sty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214"/>
        <w:gridCol w:w="1449"/>
        <w:gridCol w:w="2215"/>
        <w:gridCol w:w="1602"/>
        <w:gridCol w:w="1602"/>
      </w:tblGrid>
      <w:tr w:rsidR="00E4470D" w:rsidRPr="00367780" w14:paraId="0389FE5F" w14:textId="5E0B4B4F" w:rsidTr="00E4470D">
        <w:trPr>
          <w:tblHeader/>
        </w:trPr>
        <w:tc>
          <w:tcPr>
            <w:tcW w:w="1716" w:type="pct"/>
            <w:gridSpan w:val="2"/>
            <w:shd w:val="clear" w:color="auto" w:fill="FBD4B4" w:themeFill="accent6" w:themeFillTint="66"/>
          </w:tcPr>
          <w:p w14:paraId="2D75EE53" w14:textId="7148686E" w:rsidR="00E4470D" w:rsidRPr="00367780" w:rsidRDefault="00E4470D" w:rsidP="00BD123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Option 1 – every second month on second Tuesday of the month (even months)</w:t>
            </w:r>
          </w:p>
        </w:tc>
        <w:tc>
          <w:tcPr>
            <w:tcW w:w="1752" w:type="pct"/>
            <w:gridSpan w:val="2"/>
            <w:shd w:val="clear" w:color="auto" w:fill="C6D9F1" w:themeFill="text2" w:themeFillTint="33"/>
          </w:tcPr>
          <w:p w14:paraId="20449EBA" w14:textId="77777777" w:rsidR="00E4470D" w:rsidRPr="000614F6" w:rsidRDefault="00E4470D" w:rsidP="00BD123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Option 2 – every month on second Tuesday of the month</w:t>
            </w:r>
          </w:p>
        </w:tc>
        <w:tc>
          <w:tcPr>
            <w:tcW w:w="1532" w:type="pct"/>
            <w:gridSpan w:val="2"/>
            <w:shd w:val="clear" w:color="auto" w:fill="F2DBDB" w:themeFill="accent2" w:themeFillTint="33"/>
          </w:tcPr>
          <w:p w14:paraId="7254F694" w14:textId="4AEC427C" w:rsidR="00E4470D" w:rsidRDefault="00E4470D" w:rsidP="00BD123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Option 3 – every second month on second Tuesday of the month (odd months)</w:t>
            </w:r>
          </w:p>
        </w:tc>
      </w:tr>
      <w:tr w:rsidR="00E4470D" w:rsidRPr="00367780" w14:paraId="5D80E39F" w14:textId="408486A6" w:rsidTr="00E4470D">
        <w:tc>
          <w:tcPr>
            <w:tcW w:w="657" w:type="pct"/>
          </w:tcPr>
          <w:p w14:paraId="5FF029D9" w14:textId="77777777" w:rsidR="00E4470D" w:rsidRPr="008B3607" w:rsidRDefault="00E4470D" w:rsidP="00E4470D">
            <w:pPr>
              <w:spacing w:after="0"/>
              <w:rPr>
                <w:lang w:eastAsia="en-GB"/>
              </w:rPr>
            </w:pPr>
            <w:r w:rsidRPr="008B3607">
              <w:rPr>
                <w:lang w:eastAsia="en-GB"/>
              </w:rPr>
              <w:t>Date</w:t>
            </w:r>
          </w:p>
        </w:tc>
        <w:tc>
          <w:tcPr>
            <w:tcW w:w="1059" w:type="pct"/>
          </w:tcPr>
          <w:p w14:paraId="1B825189" w14:textId="77777777" w:rsidR="00E4470D" w:rsidRPr="00367780" w:rsidRDefault="00E4470D" w:rsidP="00E4470D">
            <w:pPr>
              <w:spacing w:after="0"/>
              <w:rPr>
                <w:b/>
                <w:bCs/>
                <w:lang w:eastAsia="en-GB"/>
              </w:rPr>
            </w:pPr>
            <w:r w:rsidRPr="00367780">
              <w:rPr>
                <w:b/>
                <w:bCs/>
                <w:lang w:eastAsia="en-GB"/>
              </w:rPr>
              <w:t>Comments</w:t>
            </w:r>
          </w:p>
        </w:tc>
        <w:tc>
          <w:tcPr>
            <w:tcW w:w="693" w:type="pct"/>
          </w:tcPr>
          <w:p w14:paraId="717EB73A" w14:textId="77777777" w:rsidR="00E4470D" w:rsidRPr="00367780" w:rsidRDefault="00E4470D" w:rsidP="00E4470D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1059" w:type="pct"/>
          </w:tcPr>
          <w:p w14:paraId="254830B2" w14:textId="77777777" w:rsidR="00E4470D" w:rsidRPr="00367780" w:rsidRDefault="00E4470D" w:rsidP="00E4470D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Comments</w:t>
            </w:r>
          </w:p>
        </w:tc>
        <w:tc>
          <w:tcPr>
            <w:tcW w:w="766" w:type="pct"/>
            <w:shd w:val="clear" w:color="auto" w:fill="auto"/>
          </w:tcPr>
          <w:p w14:paraId="48B2303F" w14:textId="642217DF" w:rsidR="00E4470D" w:rsidRDefault="00E4470D" w:rsidP="00E4470D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766" w:type="pct"/>
            <w:shd w:val="clear" w:color="auto" w:fill="auto"/>
          </w:tcPr>
          <w:p w14:paraId="372E63F3" w14:textId="0AFABD60" w:rsidR="00E4470D" w:rsidRDefault="00E4470D" w:rsidP="00E4470D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Comments</w:t>
            </w:r>
          </w:p>
        </w:tc>
      </w:tr>
      <w:tr w:rsidR="008318AD" w14:paraId="1DE96731" w14:textId="77777777" w:rsidTr="008318AD">
        <w:tc>
          <w:tcPr>
            <w:tcW w:w="5000" w:type="pct"/>
            <w:gridSpan w:val="6"/>
            <w:shd w:val="clear" w:color="auto" w:fill="CCC0D9" w:themeFill="accent4" w:themeFillTint="66"/>
          </w:tcPr>
          <w:p w14:paraId="11B9BF37" w14:textId="5DA47866" w:rsidR="008318AD" w:rsidRPr="008318AD" w:rsidRDefault="008318AD" w:rsidP="008318AD">
            <w:pPr>
              <w:spacing w:after="0"/>
              <w:jc w:val="center"/>
              <w:rPr>
                <w:b/>
                <w:bCs/>
                <w:lang w:eastAsia="en-GB"/>
              </w:rPr>
            </w:pPr>
            <w:r w:rsidRPr="008318AD">
              <w:rPr>
                <w:b/>
                <w:bCs/>
                <w:lang w:eastAsia="en-GB"/>
              </w:rPr>
              <w:t>2024</w:t>
            </w:r>
          </w:p>
        </w:tc>
      </w:tr>
      <w:tr w:rsidR="008318AD" w14:paraId="2ACB0A02" w14:textId="09BD2C5C" w:rsidTr="00E4470D">
        <w:tc>
          <w:tcPr>
            <w:tcW w:w="657" w:type="pct"/>
          </w:tcPr>
          <w:p w14:paraId="34A92520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June 2024</w:t>
            </w:r>
          </w:p>
        </w:tc>
        <w:tc>
          <w:tcPr>
            <w:tcW w:w="1059" w:type="pct"/>
          </w:tcPr>
          <w:p w14:paraId="580218B6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  <w:shd w:val="clear" w:color="auto" w:fill="D9D9D9" w:themeFill="background1" w:themeFillShade="D9"/>
          </w:tcPr>
          <w:p w14:paraId="637AE105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1059" w:type="pct"/>
            <w:shd w:val="clear" w:color="auto" w:fill="D9D9D9" w:themeFill="background1" w:themeFillShade="D9"/>
          </w:tcPr>
          <w:p w14:paraId="7C177406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726787F3" w14:textId="6FCDC55C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June 2024</w:t>
            </w:r>
          </w:p>
        </w:tc>
        <w:tc>
          <w:tcPr>
            <w:tcW w:w="766" w:type="pct"/>
            <w:shd w:val="clear" w:color="auto" w:fill="auto"/>
          </w:tcPr>
          <w:p w14:paraId="395B790C" w14:textId="6CF79DA4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:rsidRPr="008B3607" w14:paraId="66A76523" w14:textId="053FA0F9" w:rsidTr="00E4470D">
        <w:tc>
          <w:tcPr>
            <w:tcW w:w="657" w:type="pct"/>
            <w:shd w:val="clear" w:color="auto" w:fill="D6E3BC" w:themeFill="accent3" w:themeFillTint="66"/>
          </w:tcPr>
          <w:p w14:paraId="4A4BC412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June 2024</w:t>
            </w:r>
          </w:p>
          <w:p w14:paraId="57ADBC1B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AGM</w:t>
            </w:r>
          </w:p>
        </w:tc>
        <w:tc>
          <w:tcPr>
            <w:tcW w:w="1059" w:type="pct"/>
            <w:shd w:val="clear" w:color="auto" w:fill="D6E3BC" w:themeFill="accent3" w:themeFillTint="66"/>
          </w:tcPr>
          <w:p w14:paraId="3F164248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14:paraId="53F9A244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June 2024</w:t>
            </w:r>
          </w:p>
          <w:p w14:paraId="2AD2E9F0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AGM</w:t>
            </w:r>
          </w:p>
        </w:tc>
        <w:tc>
          <w:tcPr>
            <w:tcW w:w="1059" w:type="pct"/>
            <w:shd w:val="clear" w:color="auto" w:fill="D6E3BC" w:themeFill="accent3" w:themeFillTint="66"/>
          </w:tcPr>
          <w:p w14:paraId="786570DA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  <w:tc>
          <w:tcPr>
            <w:tcW w:w="766" w:type="pct"/>
            <w:shd w:val="clear" w:color="auto" w:fill="auto"/>
          </w:tcPr>
          <w:p w14:paraId="05C7BA54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June 2024</w:t>
            </w:r>
          </w:p>
          <w:p w14:paraId="3C142C63" w14:textId="5A43CDFA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AGM</w:t>
            </w:r>
          </w:p>
        </w:tc>
        <w:tc>
          <w:tcPr>
            <w:tcW w:w="766" w:type="pct"/>
            <w:shd w:val="clear" w:color="auto" w:fill="auto"/>
          </w:tcPr>
          <w:p w14:paraId="750F1B3D" w14:textId="7641E920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</w:tr>
      <w:tr w:rsidR="008318AD" w14:paraId="1D4D4BA5" w14:textId="5F94E87F" w:rsidTr="00E4470D">
        <w:tc>
          <w:tcPr>
            <w:tcW w:w="657" w:type="pct"/>
          </w:tcPr>
          <w:p w14:paraId="3EDFD8FD" w14:textId="77777777" w:rsidR="008318AD" w:rsidRPr="008B3607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1059" w:type="pct"/>
          </w:tcPr>
          <w:p w14:paraId="2C94439E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4EF2D8D8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9 July</w:t>
            </w:r>
          </w:p>
        </w:tc>
        <w:tc>
          <w:tcPr>
            <w:tcW w:w="1059" w:type="pct"/>
          </w:tcPr>
          <w:p w14:paraId="5575A524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In School Holidays</w:t>
            </w:r>
          </w:p>
        </w:tc>
        <w:tc>
          <w:tcPr>
            <w:tcW w:w="766" w:type="pct"/>
            <w:shd w:val="clear" w:color="auto" w:fill="auto"/>
          </w:tcPr>
          <w:p w14:paraId="46345F37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6EA83B5B" w14:textId="4B639412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0D889906" w14:textId="46FA0F7D" w:rsidTr="00E4470D">
        <w:tc>
          <w:tcPr>
            <w:tcW w:w="657" w:type="pct"/>
          </w:tcPr>
          <w:p w14:paraId="395BAC31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13 August 2024 </w:t>
            </w:r>
          </w:p>
        </w:tc>
        <w:tc>
          <w:tcPr>
            <w:tcW w:w="1059" w:type="pct"/>
          </w:tcPr>
          <w:p w14:paraId="0CE9B6EF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  <w:tc>
          <w:tcPr>
            <w:tcW w:w="693" w:type="pct"/>
          </w:tcPr>
          <w:p w14:paraId="7D1BAE36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13 August 2024 </w:t>
            </w:r>
          </w:p>
        </w:tc>
        <w:tc>
          <w:tcPr>
            <w:tcW w:w="1059" w:type="pct"/>
          </w:tcPr>
          <w:p w14:paraId="29F74115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  <w:tc>
          <w:tcPr>
            <w:tcW w:w="766" w:type="pct"/>
            <w:shd w:val="clear" w:color="auto" w:fill="auto"/>
          </w:tcPr>
          <w:p w14:paraId="1BEC180E" w14:textId="310003F7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13 August 2024 </w:t>
            </w:r>
          </w:p>
        </w:tc>
        <w:tc>
          <w:tcPr>
            <w:tcW w:w="766" w:type="pct"/>
            <w:shd w:val="clear" w:color="auto" w:fill="auto"/>
          </w:tcPr>
          <w:p w14:paraId="02310AF3" w14:textId="68A4F35E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</w:tr>
      <w:tr w:rsidR="008318AD" w14:paraId="06ECEA68" w14:textId="2E7DCC44" w:rsidTr="00E4470D">
        <w:tc>
          <w:tcPr>
            <w:tcW w:w="657" w:type="pct"/>
          </w:tcPr>
          <w:p w14:paraId="4C633F37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1059" w:type="pct"/>
          </w:tcPr>
          <w:p w14:paraId="167CF820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5347A09E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9 September 2024</w:t>
            </w:r>
          </w:p>
        </w:tc>
        <w:tc>
          <w:tcPr>
            <w:tcW w:w="1059" w:type="pct"/>
          </w:tcPr>
          <w:p w14:paraId="7DE9A1B0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6FC64D76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2B122B31" w14:textId="163E516C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3A3761C6" w14:textId="730FC326" w:rsidTr="00E4470D">
        <w:tc>
          <w:tcPr>
            <w:tcW w:w="657" w:type="pct"/>
          </w:tcPr>
          <w:p w14:paraId="49E948DC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8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October 2024 </w:t>
            </w:r>
          </w:p>
        </w:tc>
        <w:tc>
          <w:tcPr>
            <w:tcW w:w="1059" w:type="pct"/>
          </w:tcPr>
          <w:p w14:paraId="159CF8CA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  <w:tc>
          <w:tcPr>
            <w:tcW w:w="693" w:type="pct"/>
          </w:tcPr>
          <w:p w14:paraId="42012131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8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October  2024</w:t>
            </w:r>
          </w:p>
        </w:tc>
        <w:tc>
          <w:tcPr>
            <w:tcW w:w="1059" w:type="pct"/>
          </w:tcPr>
          <w:p w14:paraId="40633D67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  <w:tc>
          <w:tcPr>
            <w:tcW w:w="766" w:type="pct"/>
            <w:shd w:val="clear" w:color="auto" w:fill="auto"/>
          </w:tcPr>
          <w:p w14:paraId="09978E64" w14:textId="4652E387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8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October  2024</w:t>
            </w:r>
          </w:p>
        </w:tc>
        <w:tc>
          <w:tcPr>
            <w:tcW w:w="766" w:type="pct"/>
            <w:shd w:val="clear" w:color="auto" w:fill="auto"/>
          </w:tcPr>
          <w:p w14:paraId="3EBE8C87" w14:textId="74EF8DAD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In School Holidays  </w:t>
            </w:r>
          </w:p>
        </w:tc>
      </w:tr>
      <w:tr w:rsidR="008318AD" w14:paraId="1BDA1E95" w14:textId="2F21FD79" w:rsidTr="00E4470D">
        <w:tc>
          <w:tcPr>
            <w:tcW w:w="657" w:type="pct"/>
          </w:tcPr>
          <w:p w14:paraId="79AEBC19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1059" w:type="pct"/>
          </w:tcPr>
          <w:p w14:paraId="3F72FCC0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39571A5B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 November 2024</w:t>
            </w:r>
          </w:p>
        </w:tc>
        <w:tc>
          <w:tcPr>
            <w:tcW w:w="1059" w:type="pct"/>
          </w:tcPr>
          <w:p w14:paraId="5D9AEF45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7B17E639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4605CA0C" w14:textId="5DD6235F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7EF4FD7A" w14:textId="672505F3" w:rsidTr="00E4470D">
        <w:tc>
          <w:tcPr>
            <w:tcW w:w="657" w:type="pct"/>
          </w:tcPr>
          <w:p w14:paraId="19D3FEEA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December 2024</w:t>
            </w:r>
          </w:p>
        </w:tc>
        <w:tc>
          <w:tcPr>
            <w:tcW w:w="1059" w:type="pct"/>
          </w:tcPr>
          <w:p w14:paraId="74E7271A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62D41750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December 2024 </w:t>
            </w:r>
          </w:p>
        </w:tc>
        <w:tc>
          <w:tcPr>
            <w:tcW w:w="1059" w:type="pct"/>
          </w:tcPr>
          <w:p w14:paraId="7D8F5677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7AE5D2D5" w14:textId="1F436C0A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December 2024 </w:t>
            </w:r>
          </w:p>
        </w:tc>
        <w:tc>
          <w:tcPr>
            <w:tcW w:w="766" w:type="pct"/>
            <w:shd w:val="clear" w:color="auto" w:fill="auto"/>
          </w:tcPr>
          <w:p w14:paraId="12622215" w14:textId="26C551F4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:rsidRPr="008318AD" w14:paraId="2D939801" w14:textId="77777777" w:rsidTr="008318AD">
        <w:tc>
          <w:tcPr>
            <w:tcW w:w="5000" w:type="pct"/>
            <w:gridSpan w:val="6"/>
            <w:shd w:val="clear" w:color="auto" w:fill="CCC0D9" w:themeFill="accent4" w:themeFillTint="66"/>
          </w:tcPr>
          <w:p w14:paraId="75B7F735" w14:textId="368724AB" w:rsidR="008318AD" w:rsidRPr="008318AD" w:rsidRDefault="008318AD" w:rsidP="008318AD">
            <w:pPr>
              <w:spacing w:after="0"/>
              <w:jc w:val="center"/>
              <w:rPr>
                <w:b/>
                <w:bCs/>
                <w:lang w:eastAsia="en-GB"/>
              </w:rPr>
            </w:pPr>
            <w:r w:rsidRPr="008318AD">
              <w:rPr>
                <w:b/>
                <w:bCs/>
                <w:lang w:eastAsia="en-GB"/>
              </w:rPr>
              <w:t>2025</w:t>
            </w:r>
          </w:p>
        </w:tc>
      </w:tr>
      <w:tr w:rsidR="008318AD" w14:paraId="7879E21E" w14:textId="59C23B32" w:rsidTr="00E4470D">
        <w:tc>
          <w:tcPr>
            <w:tcW w:w="657" w:type="pct"/>
          </w:tcPr>
          <w:p w14:paraId="17AD210B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1059" w:type="pct"/>
          </w:tcPr>
          <w:p w14:paraId="67D94FE0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16DA3D03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14 January 2025</w:t>
            </w:r>
          </w:p>
        </w:tc>
        <w:tc>
          <w:tcPr>
            <w:tcW w:w="1059" w:type="pct"/>
          </w:tcPr>
          <w:p w14:paraId="4D636080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646C38A1" w14:textId="78946DE8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14 January 2025</w:t>
            </w:r>
          </w:p>
        </w:tc>
        <w:tc>
          <w:tcPr>
            <w:tcW w:w="766" w:type="pct"/>
            <w:shd w:val="clear" w:color="auto" w:fill="auto"/>
          </w:tcPr>
          <w:p w14:paraId="0B65D684" w14:textId="083E76EE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Start of ‘odd month bimonthly meetings’ </w:t>
            </w:r>
          </w:p>
        </w:tc>
      </w:tr>
      <w:tr w:rsidR="008318AD" w14:paraId="6764FA8E" w14:textId="5CE34843" w:rsidTr="00E4470D">
        <w:tc>
          <w:tcPr>
            <w:tcW w:w="657" w:type="pct"/>
          </w:tcPr>
          <w:p w14:paraId="76E48E02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February 2025</w:t>
            </w:r>
          </w:p>
        </w:tc>
        <w:tc>
          <w:tcPr>
            <w:tcW w:w="1059" w:type="pct"/>
          </w:tcPr>
          <w:p w14:paraId="3928DF55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In School Holidays</w:t>
            </w:r>
          </w:p>
        </w:tc>
        <w:tc>
          <w:tcPr>
            <w:tcW w:w="693" w:type="pct"/>
          </w:tcPr>
          <w:p w14:paraId="700C9C6A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February 2025</w:t>
            </w:r>
          </w:p>
        </w:tc>
        <w:tc>
          <w:tcPr>
            <w:tcW w:w="1059" w:type="pct"/>
          </w:tcPr>
          <w:p w14:paraId="2ED974DC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In School Holidays</w:t>
            </w:r>
          </w:p>
        </w:tc>
        <w:tc>
          <w:tcPr>
            <w:tcW w:w="766" w:type="pct"/>
            <w:shd w:val="clear" w:color="auto" w:fill="auto"/>
          </w:tcPr>
          <w:p w14:paraId="7AF4FD7F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16582907" w14:textId="6A2A7C71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6169688B" w14:textId="4F2AC097" w:rsidTr="00E4470D">
        <w:tc>
          <w:tcPr>
            <w:tcW w:w="657" w:type="pct"/>
          </w:tcPr>
          <w:p w14:paraId="27ED033D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1059" w:type="pct"/>
          </w:tcPr>
          <w:p w14:paraId="4AA1F2FB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41F36D63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March 2025</w:t>
            </w:r>
          </w:p>
        </w:tc>
        <w:tc>
          <w:tcPr>
            <w:tcW w:w="1059" w:type="pct"/>
          </w:tcPr>
          <w:p w14:paraId="32B83F84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0FBD3F1A" w14:textId="2286ADAF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11</w:t>
            </w:r>
            <w:r w:rsidRPr="008B3607">
              <w:rPr>
                <w:b/>
                <w:bCs/>
                <w:vertAlign w:val="superscript"/>
                <w:lang w:eastAsia="en-GB"/>
              </w:rPr>
              <w:t>th</w:t>
            </w:r>
            <w:r w:rsidRPr="008B3607">
              <w:rPr>
                <w:b/>
                <w:bCs/>
                <w:lang w:eastAsia="en-GB"/>
              </w:rPr>
              <w:t xml:space="preserve"> March 2025</w:t>
            </w:r>
          </w:p>
        </w:tc>
        <w:tc>
          <w:tcPr>
            <w:tcW w:w="766" w:type="pct"/>
            <w:shd w:val="clear" w:color="auto" w:fill="auto"/>
          </w:tcPr>
          <w:p w14:paraId="362B52E6" w14:textId="483E0E73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37F27136" w14:textId="37180691" w:rsidTr="00E4470D">
        <w:tc>
          <w:tcPr>
            <w:tcW w:w="657" w:type="pct"/>
          </w:tcPr>
          <w:p w14:paraId="23DC822D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8 April 2025</w:t>
            </w:r>
          </w:p>
        </w:tc>
        <w:tc>
          <w:tcPr>
            <w:tcW w:w="1059" w:type="pct"/>
          </w:tcPr>
          <w:p w14:paraId="5D7ABE7B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In School Holidays</w:t>
            </w:r>
          </w:p>
        </w:tc>
        <w:tc>
          <w:tcPr>
            <w:tcW w:w="693" w:type="pct"/>
          </w:tcPr>
          <w:p w14:paraId="48EA4F1F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8 April 2025</w:t>
            </w:r>
          </w:p>
        </w:tc>
        <w:tc>
          <w:tcPr>
            <w:tcW w:w="1059" w:type="pct"/>
          </w:tcPr>
          <w:p w14:paraId="5FEA3B51" w14:textId="77777777" w:rsidR="008318AD" w:rsidRDefault="008318AD" w:rsidP="008318AD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In School Holidays</w:t>
            </w:r>
          </w:p>
        </w:tc>
        <w:tc>
          <w:tcPr>
            <w:tcW w:w="766" w:type="pct"/>
            <w:shd w:val="clear" w:color="auto" w:fill="auto"/>
          </w:tcPr>
          <w:p w14:paraId="74BE6BE4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2FC0A751" w14:textId="1DDAFA3B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2327C9AD" w14:textId="0CDFA293" w:rsidTr="00E4470D">
        <w:tc>
          <w:tcPr>
            <w:tcW w:w="657" w:type="pct"/>
          </w:tcPr>
          <w:p w14:paraId="6AEDF5D6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1059" w:type="pct"/>
          </w:tcPr>
          <w:p w14:paraId="45FD0F0C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18372663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13 May 2025</w:t>
            </w:r>
          </w:p>
        </w:tc>
        <w:tc>
          <w:tcPr>
            <w:tcW w:w="1059" w:type="pct"/>
          </w:tcPr>
          <w:p w14:paraId="16C87471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22DD4634" w14:textId="5FC2A311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13 May 2025</w:t>
            </w:r>
          </w:p>
        </w:tc>
        <w:tc>
          <w:tcPr>
            <w:tcW w:w="766" w:type="pct"/>
            <w:shd w:val="clear" w:color="auto" w:fill="auto"/>
          </w:tcPr>
          <w:p w14:paraId="7A6C9433" w14:textId="5B09D27F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14:paraId="3682DE0E" w14:textId="327E6E93" w:rsidTr="00E4470D">
        <w:tc>
          <w:tcPr>
            <w:tcW w:w="657" w:type="pct"/>
          </w:tcPr>
          <w:p w14:paraId="4870B548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</w:t>
            </w:r>
          </w:p>
        </w:tc>
        <w:tc>
          <w:tcPr>
            <w:tcW w:w="1059" w:type="pct"/>
          </w:tcPr>
          <w:p w14:paraId="26E77748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693" w:type="pct"/>
          </w:tcPr>
          <w:p w14:paraId="18D7BCC1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</w:t>
            </w:r>
          </w:p>
        </w:tc>
        <w:tc>
          <w:tcPr>
            <w:tcW w:w="1059" w:type="pct"/>
          </w:tcPr>
          <w:p w14:paraId="2771096A" w14:textId="77777777" w:rsidR="008318AD" w:rsidRDefault="008318AD" w:rsidP="008318AD">
            <w:pPr>
              <w:spacing w:after="0"/>
              <w:rPr>
                <w:lang w:eastAsia="en-GB"/>
              </w:rPr>
            </w:pPr>
          </w:p>
        </w:tc>
        <w:tc>
          <w:tcPr>
            <w:tcW w:w="766" w:type="pct"/>
            <w:shd w:val="clear" w:color="auto" w:fill="auto"/>
          </w:tcPr>
          <w:p w14:paraId="2F9DFD43" w14:textId="5CE6B091" w:rsidR="008318AD" w:rsidRDefault="008318AD" w:rsidP="008318AD">
            <w:pPr>
              <w:spacing w:after="0"/>
              <w:rPr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</w:t>
            </w:r>
          </w:p>
        </w:tc>
        <w:tc>
          <w:tcPr>
            <w:tcW w:w="766" w:type="pct"/>
            <w:shd w:val="clear" w:color="auto" w:fill="auto"/>
          </w:tcPr>
          <w:p w14:paraId="3764D598" w14:textId="59E48A64" w:rsidR="008318AD" w:rsidRDefault="008318AD" w:rsidP="008318AD">
            <w:pPr>
              <w:spacing w:after="0"/>
              <w:rPr>
                <w:lang w:eastAsia="en-GB"/>
              </w:rPr>
            </w:pPr>
          </w:p>
        </w:tc>
      </w:tr>
      <w:tr w:rsidR="008318AD" w:rsidRPr="008B3607" w14:paraId="58FA7777" w14:textId="3262FA0B" w:rsidTr="008318AD">
        <w:tc>
          <w:tcPr>
            <w:tcW w:w="657" w:type="pct"/>
            <w:shd w:val="clear" w:color="auto" w:fill="D6E3BC" w:themeFill="accent3" w:themeFillTint="66"/>
          </w:tcPr>
          <w:p w14:paraId="558DA1EA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 AGM</w:t>
            </w:r>
          </w:p>
        </w:tc>
        <w:tc>
          <w:tcPr>
            <w:tcW w:w="1059" w:type="pct"/>
            <w:shd w:val="clear" w:color="auto" w:fill="D6E3BC" w:themeFill="accent3" w:themeFillTint="66"/>
          </w:tcPr>
          <w:p w14:paraId="35897E40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14:paraId="76BD3AD5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 AGM</w:t>
            </w:r>
          </w:p>
        </w:tc>
        <w:tc>
          <w:tcPr>
            <w:tcW w:w="1059" w:type="pct"/>
            <w:shd w:val="clear" w:color="auto" w:fill="D6E3BC" w:themeFill="accent3" w:themeFillTint="66"/>
          </w:tcPr>
          <w:p w14:paraId="5486F88F" w14:textId="77777777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  <w:tc>
          <w:tcPr>
            <w:tcW w:w="766" w:type="pct"/>
            <w:shd w:val="clear" w:color="auto" w:fill="D6E3BC" w:themeFill="accent3" w:themeFillTint="66"/>
          </w:tcPr>
          <w:p w14:paraId="0AC2452D" w14:textId="1910905B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>10 June 2025 AGM</w:t>
            </w:r>
          </w:p>
        </w:tc>
        <w:tc>
          <w:tcPr>
            <w:tcW w:w="766" w:type="pct"/>
            <w:shd w:val="clear" w:color="auto" w:fill="D6E3BC" w:themeFill="accent3" w:themeFillTint="66"/>
          </w:tcPr>
          <w:p w14:paraId="1A1F38F6" w14:textId="2B7EB931" w:rsidR="008318AD" w:rsidRPr="008B3607" w:rsidRDefault="008318AD" w:rsidP="008318AD">
            <w:pPr>
              <w:spacing w:after="0"/>
              <w:rPr>
                <w:b/>
                <w:bCs/>
                <w:lang w:eastAsia="en-GB"/>
              </w:rPr>
            </w:pPr>
            <w:r w:rsidRPr="008B3607">
              <w:rPr>
                <w:b/>
                <w:bCs/>
                <w:lang w:eastAsia="en-GB"/>
              </w:rPr>
              <w:t xml:space="preserve">Needs to be held annually.  Focus on election of officers and agreement of accounts and dates for CC meetings.  </w:t>
            </w:r>
          </w:p>
        </w:tc>
      </w:tr>
    </w:tbl>
    <w:p w14:paraId="1BC5F131" w14:textId="77777777" w:rsidR="0099666B" w:rsidRPr="005C0602" w:rsidRDefault="0099666B" w:rsidP="0099666B">
      <w:pPr>
        <w:rPr>
          <w:lang w:eastAsia="en-GB"/>
        </w:rPr>
      </w:pPr>
    </w:p>
    <w:p w14:paraId="13C299EE" w14:textId="77777777" w:rsidR="0099666B" w:rsidRPr="00461D64" w:rsidRDefault="0099666B" w:rsidP="0099666B">
      <w:pPr>
        <w:rPr>
          <w:lang w:eastAsia="en-GB"/>
        </w:rPr>
      </w:pPr>
    </w:p>
    <w:p w14:paraId="2B97EA9F" w14:textId="77777777" w:rsidR="0099666B" w:rsidRPr="00F97495" w:rsidRDefault="0099666B" w:rsidP="0099666B"/>
    <w:p w14:paraId="5E439FFB" w14:textId="77777777" w:rsidR="0099666B" w:rsidRPr="0099666B" w:rsidRDefault="0099666B" w:rsidP="0099666B">
      <w:pPr>
        <w:rPr>
          <w:lang w:eastAsia="en-GB"/>
        </w:rPr>
      </w:pPr>
    </w:p>
    <w:sectPr w:rsidR="0099666B" w:rsidRPr="0099666B" w:rsidSect="00FB52D9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AA8D4" w14:textId="77777777" w:rsidR="00FB52D9" w:rsidRDefault="00FB52D9" w:rsidP="002C035B">
      <w:r>
        <w:separator/>
      </w:r>
    </w:p>
    <w:p w14:paraId="118BA6C8" w14:textId="77777777" w:rsidR="00FB52D9" w:rsidRDefault="00FB52D9"/>
    <w:p w14:paraId="358A115C" w14:textId="77777777" w:rsidR="00FB52D9" w:rsidRDefault="00FB52D9"/>
    <w:p w14:paraId="0CC8D3F0" w14:textId="77777777" w:rsidR="00FB52D9" w:rsidRDefault="00FB52D9"/>
    <w:p w14:paraId="0F7745AE" w14:textId="77777777" w:rsidR="00FB52D9" w:rsidRDefault="00FB52D9"/>
    <w:p w14:paraId="6DB8CD1F" w14:textId="77777777" w:rsidR="00FB52D9" w:rsidRDefault="00FB52D9"/>
  </w:endnote>
  <w:endnote w:type="continuationSeparator" w:id="0">
    <w:p w14:paraId="12BA838E" w14:textId="77777777" w:rsidR="00FB52D9" w:rsidRDefault="00FB52D9" w:rsidP="002C035B">
      <w:r>
        <w:continuationSeparator/>
      </w:r>
    </w:p>
    <w:p w14:paraId="1855A552" w14:textId="77777777" w:rsidR="00FB52D9" w:rsidRDefault="00FB52D9"/>
    <w:p w14:paraId="28B40040" w14:textId="77777777" w:rsidR="00FB52D9" w:rsidRDefault="00FB52D9"/>
    <w:p w14:paraId="1C7A5957" w14:textId="77777777" w:rsidR="00FB52D9" w:rsidRDefault="00FB52D9"/>
    <w:p w14:paraId="1CC21A07" w14:textId="77777777" w:rsidR="00FB52D9" w:rsidRDefault="00FB52D9"/>
    <w:p w14:paraId="5D6D3397" w14:textId="77777777" w:rsidR="00FB52D9" w:rsidRDefault="00FB5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8F307" w14:textId="77777777" w:rsidR="00FB52D9" w:rsidRPr="005F08F1" w:rsidRDefault="00FB52D9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61FBE27E" w14:textId="77777777" w:rsidR="00FB52D9" w:rsidRPr="007F67A4" w:rsidRDefault="00FB52D9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30533F75" w14:textId="77777777" w:rsidR="00FB52D9" w:rsidRPr="007F67A4" w:rsidRDefault="00FB52D9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6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7" o:spid="_x0000_s1030" type="#_x0000_t136" style="position:absolute;left:0;text-align:left;margin-left:0;margin-top:0;width:670.4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5" o:spid="_x0000_s1028" type="#_x0000_t136" style="position:absolute;left:0;text-align:left;margin-left:0;margin-top:0;width:670.4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38A4"/>
    <w:multiLevelType w:val="hybridMultilevel"/>
    <w:tmpl w:val="CA56F8C0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749">
    <w:abstractNumId w:val="11"/>
  </w:num>
  <w:num w:numId="2" w16cid:durableId="365638095">
    <w:abstractNumId w:val="2"/>
  </w:num>
  <w:num w:numId="3" w16cid:durableId="1250501480">
    <w:abstractNumId w:val="1"/>
  </w:num>
  <w:num w:numId="4" w16cid:durableId="1844511342">
    <w:abstractNumId w:val="14"/>
  </w:num>
  <w:num w:numId="5" w16cid:durableId="1374689407">
    <w:abstractNumId w:val="6"/>
  </w:num>
  <w:num w:numId="6" w16cid:durableId="957756222">
    <w:abstractNumId w:val="19"/>
  </w:num>
  <w:num w:numId="7" w16cid:durableId="1638757648">
    <w:abstractNumId w:val="16"/>
  </w:num>
  <w:num w:numId="8" w16cid:durableId="478570453">
    <w:abstractNumId w:val="4"/>
  </w:num>
  <w:num w:numId="9" w16cid:durableId="971785301">
    <w:abstractNumId w:val="10"/>
  </w:num>
  <w:num w:numId="10" w16cid:durableId="39986592">
    <w:abstractNumId w:val="5"/>
  </w:num>
  <w:num w:numId="11" w16cid:durableId="2067221109">
    <w:abstractNumId w:val="3"/>
  </w:num>
  <w:num w:numId="12" w16cid:durableId="546453465">
    <w:abstractNumId w:val="13"/>
  </w:num>
  <w:num w:numId="13" w16cid:durableId="360279980">
    <w:abstractNumId w:val="20"/>
  </w:num>
  <w:num w:numId="14" w16cid:durableId="1438210649">
    <w:abstractNumId w:val="15"/>
  </w:num>
  <w:num w:numId="15" w16cid:durableId="2146309070">
    <w:abstractNumId w:val="18"/>
  </w:num>
  <w:num w:numId="16" w16cid:durableId="220681300">
    <w:abstractNumId w:val="17"/>
  </w:num>
  <w:num w:numId="17" w16cid:durableId="154230171">
    <w:abstractNumId w:val="12"/>
  </w:num>
  <w:num w:numId="18" w16cid:durableId="1711220633">
    <w:abstractNumId w:val="0"/>
  </w:num>
  <w:num w:numId="19" w16cid:durableId="1956860903">
    <w:abstractNumId w:val="8"/>
  </w:num>
  <w:num w:numId="20" w16cid:durableId="73790008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7AC6"/>
    <w:rsid w:val="0009304F"/>
    <w:rsid w:val="000A4520"/>
    <w:rsid w:val="000A473D"/>
    <w:rsid w:val="000A647E"/>
    <w:rsid w:val="000B3214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2CCD"/>
    <w:rsid w:val="003E77E4"/>
    <w:rsid w:val="003F3874"/>
    <w:rsid w:val="003F3C01"/>
    <w:rsid w:val="003F4D97"/>
    <w:rsid w:val="003F6981"/>
    <w:rsid w:val="00400388"/>
    <w:rsid w:val="004027FD"/>
    <w:rsid w:val="004039C5"/>
    <w:rsid w:val="004114AC"/>
    <w:rsid w:val="004242BB"/>
    <w:rsid w:val="00432CC2"/>
    <w:rsid w:val="0045081A"/>
    <w:rsid w:val="004568FC"/>
    <w:rsid w:val="00461367"/>
    <w:rsid w:val="00461C5C"/>
    <w:rsid w:val="00461D64"/>
    <w:rsid w:val="00463EA1"/>
    <w:rsid w:val="004643ED"/>
    <w:rsid w:val="00464BF1"/>
    <w:rsid w:val="00477422"/>
    <w:rsid w:val="004800A0"/>
    <w:rsid w:val="004878AD"/>
    <w:rsid w:val="004879BB"/>
    <w:rsid w:val="00494773"/>
    <w:rsid w:val="00495BB7"/>
    <w:rsid w:val="00496259"/>
    <w:rsid w:val="004A7471"/>
    <w:rsid w:val="004D0452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318AD"/>
    <w:rsid w:val="00837410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4D1D"/>
    <w:rsid w:val="009E79EB"/>
    <w:rsid w:val="009F446E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2AA"/>
    <w:rsid w:val="00A867E0"/>
    <w:rsid w:val="00A87FC4"/>
    <w:rsid w:val="00A93D76"/>
    <w:rsid w:val="00A968E5"/>
    <w:rsid w:val="00A97E2D"/>
    <w:rsid w:val="00AA102A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A7C75"/>
    <w:rsid w:val="00BB0830"/>
    <w:rsid w:val="00BB5F0D"/>
    <w:rsid w:val="00BB7B3F"/>
    <w:rsid w:val="00BC13DB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7281B"/>
    <w:rsid w:val="00C77F58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2F47"/>
    <w:rsid w:val="00DE4F7E"/>
    <w:rsid w:val="00DF0459"/>
    <w:rsid w:val="00DF4470"/>
    <w:rsid w:val="00E00F52"/>
    <w:rsid w:val="00E13F53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D0E"/>
    <w:rsid w:val="00E4470D"/>
    <w:rsid w:val="00E45A81"/>
    <w:rsid w:val="00E45F9A"/>
    <w:rsid w:val="00E52164"/>
    <w:rsid w:val="00E52702"/>
    <w:rsid w:val="00E5558A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E59"/>
    <w:rsid w:val="00EA2AE1"/>
    <w:rsid w:val="00EA3D99"/>
    <w:rsid w:val="00EA765B"/>
    <w:rsid w:val="00EB1F2D"/>
    <w:rsid w:val="00EB37CE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52D9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2024-01-30T17:32:00Z</cp:lastPrinted>
  <dcterms:created xsi:type="dcterms:W3CDTF">2024-04-06T10:04:00Z</dcterms:created>
  <dcterms:modified xsi:type="dcterms:W3CDTF">2024-04-06T10:04:00Z</dcterms:modified>
</cp:coreProperties>
</file>